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contentLocked"/>
        <w:group/>
      </w:sdtPr>
      <w:sdtContent>
        <w:sdt>
          <w:sdtPr>
            <w:alias w:val="Título da Postagem"/>
            <w:id w:val="89512082"/>
            <w:placeholder>
              <w:docPart w:val="B0B63580FD1C4D6EB2AB109816E1B560"/>
            </w:placeholder>
            <w:dataBinding w:xpath="/ns0:BlogPostInfo/ns0:PostTitle" w:storeItemID="{5F329CAD-B019-4FA6-9FEF-74898909AD20}"/>
            <w:text/>
          </w:sdtPr>
          <w:sdtContent>
            <w:p w:rsidR="0036671D" w:rsidRDefault="0036671D" w:rsidP="00DC000A">
              <w:pPr>
                <w:pStyle w:val="Publishwithline"/>
              </w:pPr>
              <w:r>
                <w:t>Como usar o Mapa da Empatia</w:t>
              </w:r>
            </w:p>
          </w:sdtContent>
        </w:sdt>
        <w:p w:rsidR="0036671D" w:rsidRDefault="0036671D" w:rsidP="00DC000A">
          <w:pPr>
            <w:pStyle w:val="underline"/>
          </w:pPr>
        </w:p>
        <w:p w:rsidR="0036671D" w:rsidRDefault="0036671D" w:rsidP="00DC000A">
          <w:pPr>
            <w:pStyle w:val="PadderBetweenControlandBody"/>
          </w:pPr>
        </w:p>
      </w:sdtContent>
    </w:sdt>
    <w:p w:rsidR="0036671D" w:rsidRDefault="0036671D" w:rsidP="00D340E3">
      <w:pPr>
        <w:jc w:val="both"/>
      </w:pPr>
      <w:r>
        <w:t>Empatia é a capacidade de se imaginar na mesma situação de outra pessoa e compreender o sentimento ou reação que ele teria. “Calçar os sapatos” do outro.</w:t>
      </w:r>
    </w:p>
    <w:p w:rsidR="0036671D" w:rsidRPr="000A58C2" w:rsidRDefault="0036671D" w:rsidP="00D340E3">
      <w:pPr>
        <w:jc w:val="both"/>
      </w:pPr>
      <w:r>
        <w:t xml:space="preserve">O mapa da empatia é uma ferramenta mais usada na fase de observação, ou seja, após as pesquisas e investigações feitas na fase de entendimento do problema. Utilizamos os dados obtidos para criar uma pessoa fictícia, ou </w:t>
      </w:r>
      <w:r>
        <w:rPr>
          <w:i/>
        </w:rPr>
        <w:t xml:space="preserve">persona, </w:t>
      </w:r>
      <w:r>
        <w:t xml:space="preserve">para representar um perfil ou segmento de público-alvo.  Esse processo de construir um personagem, atribuir-lhe nome, características individuais como idade, profissão, gênero </w:t>
      </w:r>
      <w:proofErr w:type="spellStart"/>
      <w:r>
        <w:t>etc</w:t>
      </w:r>
      <w:proofErr w:type="spellEnd"/>
      <w:r>
        <w:t>, estimula o interesse e o engajamento do grupo. Mas também podemos usá-la para embasar processos rápidos de imersão, quando os participantes são representantes do público-alvo e podem transportar seus sentimentos e experiências para a persona.</w:t>
      </w:r>
    </w:p>
    <w:p w:rsidR="0036671D" w:rsidRPr="00BC7B28" w:rsidRDefault="0036671D" w:rsidP="00DC000A"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4752A0F" wp14:editId="0DDB633C">
            <wp:extent cx="4914714" cy="3423562"/>
            <wp:effectExtent l="0" t="0" r="635" b="5715"/>
            <wp:docPr id="1" name="Imagem 1" descr="http://www.jfsp.jus.br/documentos/administrativo/NUID/inovajusp/ijusplab/ferramentas/mapa_empati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fsp.jus.br/documentos/administrativo/NUID/inovajusp/ijusplab/ferramentas/mapa_empatia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877" cy="344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1D" w:rsidRDefault="0036671D" w:rsidP="003B0D83">
      <w:pPr>
        <w:pStyle w:val="Legenda"/>
      </w:pPr>
      <w:r>
        <w:tab/>
      </w:r>
      <w:r>
        <w:tab/>
      </w:r>
      <w:r w:rsidR="003B0D83">
        <w:t>Existem diversos modelos de Mapa de Empatia disponíveis na internet</w:t>
      </w:r>
    </w:p>
    <w:p w:rsidR="00D9587F" w:rsidRDefault="00D9587F" w:rsidP="00D340E3">
      <w:pPr>
        <w:jc w:val="both"/>
      </w:pPr>
      <w:r>
        <w:t xml:space="preserve">A partir do aprofundamento na </w:t>
      </w:r>
      <w:r>
        <w:rPr>
          <w:i/>
        </w:rPr>
        <w:t xml:space="preserve">persona, </w:t>
      </w:r>
      <w:r>
        <w:t xml:space="preserve">nos tornamos capazes de compreender outros pontos de vista, e de repensar nossa definição para os problemas e desafios. Assim, os membros do grupo tentam se colocar no lugar da </w:t>
      </w:r>
      <w:r>
        <w:rPr>
          <w:i/>
        </w:rPr>
        <w:t xml:space="preserve">persona </w:t>
      </w:r>
      <w:r>
        <w:t>e preenchem o mapa, com as respostas que ela provavelmente daria para as questões: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>O que ela pensa e sente? (</w:t>
      </w:r>
      <w:proofErr w:type="gramStart"/>
      <w:r>
        <w:t>o</w:t>
      </w:r>
      <w:proofErr w:type="gramEnd"/>
      <w:r>
        <w:t xml:space="preserve"> que é importante para ela, principais preocupações, suas emoções, expectativas, aspirações)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>O que ela escuta? (</w:t>
      </w:r>
      <w:proofErr w:type="gramStart"/>
      <w:r>
        <w:t>dos</w:t>
      </w:r>
      <w:proofErr w:type="gramEnd"/>
      <w:r>
        <w:t xml:space="preserve"> influenciadores, amigos e família, canais de informação)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>O que ela vê? (</w:t>
      </w:r>
      <w:proofErr w:type="gramStart"/>
      <w:r>
        <w:t>entorno</w:t>
      </w:r>
      <w:proofErr w:type="gramEnd"/>
      <w:r>
        <w:t>, ambiente, amigos, oportunidades, problemas)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 xml:space="preserve">O que ela fala e faz (atitude em público, comportamento, o que expõe e o que cala) 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>Quais são as suas dores? (</w:t>
      </w:r>
      <w:proofErr w:type="gramStart"/>
      <w:r>
        <w:t>medos</w:t>
      </w:r>
      <w:proofErr w:type="gramEnd"/>
      <w:r>
        <w:t>, frustrações, obstáculos, riscos a assumir)</w:t>
      </w:r>
    </w:p>
    <w:p w:rsidR="00D9587F" w:rsidRDefault="00D9587F" w:rsidP="00D340E3">
      <w:pPr>
        <w:pStyle w:val="PargrafodaLista"/>
        <w:numPr>
          <w:ilvl w:val="0"/>
          <w:numId w:val="1"/>
        </w:numPr>
        <w:jc w:val="both"/>
      </w:pPr>
      <w:r>
        <w:t>Quais são os seus ganhos</w:t>
      </w:r>
      <w:r w:rsidR="009A5562">
        <w:t>? (</w:t>
      </w:r>
      <w:proofErr w:type="gramStart"/>
      <w:r w:rsidR="009A5562">
        <w:t>d</w:t>
      </w:r>
      <w:bookmarkStart w:id="0" w:name="_GoBack"/>
      <w:bookmarkEnd w:id="0"/>
      <w:r>
        <w:t>esejos</w:t>
      </w:r>
      <w:proofErr w:type="gramEnd"/>
      <w:r>
        <w:t xml:space="preserve"> e necessidades , medidas de sucesso, compensações, zona de conforto)</w:t>
      </w:r>
    </w:p>
    <w:p w:rsidR="0036671D" w:rsidRPr="00BC7B28" w:rsidRDefault="0036671D" w:rsidP="00D340E3">
      <w:pPr>
        <w:jc w:val="both"/>
      </w:pPr>
      <w:r>
        <w:lastRenderedPageBreak/>
        <w:t xml:space="preserve">Note a </w:t>
      </w:r>
      <w:r w:rsidRPr="00BC7B28">
        <w:t>oposição dos dois principais eixos: nem tudo o que uma pessoa vê</w:t>
      </w:r>
      <w:r>
        <w:t xml:space="preserve"> </w:t>
      </w:r>
      <w:r w:rsidRPr="00BC7B28">
        <w:t>(isto é, percebe) é o que ela escuta</w:t>
      </w:r>
      <w:r>
        <w:t xml:space="preserve"> (percepção dos outros)</w:t>
      </w:r>
      <w:r w:rsidRPr="00BC7B28">
        <w:t xml:space="preserve">; nem tudo o que </w:t>
      </w:r>
      <w:r>
        <w:t xml:space="preserve">ela </w:t>
      </w:r>
      <w:r w:rsidRPr="00BC7B28">
        <w:t xml:space="preserve">sente ou pensa </w:t>
      </w:r>
      <w:r>
        <w:t xml:space="preserve">é </w:t>
      </w:r>
      <w:proofErr w:type="spellStart"/>
      <w:r>
        <w:t>externalizado</w:t>
      </w:r>
      <w:proofErr w:type="spellEnd"/>
      <w:r>
        <w:t xml:space="preserve"> </w:t>
      </w:r>
      <w:r w:rsidRPr="00BC7B28">
        <w:t>(diz ou faz).</w:t>
      </w:r>
      <w:r>
        <w:t xml:space="preserve"> A ferramenta ajuda a imergir na complexidade do ser humano e a focalizar a construção de uma persona que represente da forma mais aproximada possível um determinado grupo de usuários ou público-alvo.</w:t>
      </w:r>
    </w:p>
    <w:p w:rsidR="0036671D" w:rsidRDefault="0036671D" w:rsidP="00D340E3">
      <w:pPr>
        <w:jc w:val="both"/>
      </w:pPr>
      <w:r>
        <w:t>Para o facilitador: Se a mesa</w:t>
      </w:r>
      <w:r w:rsidRPr="00177CFA">
        <w:t xml:space="preserve"> está debatendo muito e</w:t>
      </w:r>
      <w:r>
        <w:t xml:space="preserve"> </w:t>
      </w:r>
      <w:r w:rsidRPr="00177CFA">
        <w:t xml:space="preserve">escrevendo pouco, </w:t>
      </w:r>
      <w:r>
        <w:t>incentive a colocar as ideias no papel, faça perguntas como</w:t>
      </w:r>
      <w:r w:rsidRPr="00177CFA">
        <w:t>: Me</w:t>
      </w:r>
      <w:r>
        <w:t xml:space="preserve"> </w:t>
      </w:r>
      <w:r w:rsidRPr="00177CFA">
        <w:t>falem sobre essa pessoa? Qual é o nome dessa pessoa (se ainda não tiver)? O que</w:t>
      </w:r>
      <w:r>
        <w:t xml:space="preserve"> </w:t>
      </w:r>
      <w:r w:rsidRPr="00177CFA">
        <w:t xml:space="preserve">ela faz? O que ele vê? O que ela vê é o mesmo que ela </w:t>
      </w:r>
      <w:proofErr w:type="gramStart"/>
      <w:r w:rsidRPr="00177CFA">
        <w:t>escuta?,</w:t>
      </w:r>
      <w:proofErr w:type="gramEnd"/>
      <w:r w:rsidRPr="00177CFA">
        <w:t xml:space="preserve"> etc.</w:t>
      </w:r>
      <w:r>
        <w:t xml:space="preserve"> </w:t>
      </w:r>
    </w:p>
    <w:p w:rsidR="0036671D" w:rsidRDefault="0036671D" w:rsidP="00D340E3">
      <w:pPr>
        <w:jc w:val="both"/>
      </w:pPr>
      <w:r>
        <w:t xml:space="preserve">No final, o grupo deve fazer uma apresentação da sua persona para os demais grupos ou para os </w:t>
      </w:r>
      <w:proofErr w:type="spellStart"/>
      <w:r>
        <w:t>stakeholders</w:t>
      </w:r>
      <w:proofErr w:type="spellEnd"/>
      <w:r>
        <w:t xml:space="preserve">. Pode ser na forma de </w:t>
      </w:r>
      <w:proofErr w:type="spellStart"/>
      <w:r w:rsidRPr="00177CFA">
        <w:t>roleplaying</w:t>
      </w:r>
      <w:proofErr w:type="spellEnd"/>
      <w:r w:rsidRPr="00BC7B28">
        <w:t>,</w:t>
      </w:r>
      <w:r>
        <w:t xml:space="preserve"> onde um dos integrantes interprete a persona e os outros interajam com ela provendo o contexto.</w:t>
      </w:r>
    </w:p>
    <w:p w:rsidR="0036671D" w:rsidRDefault="0036671D" w:rsidP="00D340E3">
      <w:pPr>
        <w:jc w:val="both"/>
      </w:pPr>
      <w:r>
        <w:t xml:space="preserve">Com base nesse conhecimento sobre o perfil do usuário já é possível partir para a redefinição do problema, sempre tendo em mente que o produto ou serviço a ser criado ou repensado deve resolver um problema concreto do usuário. </w:t>
      </w:r>
    </w:p>
    <w:p w:rsidR="0036671D" w:rsidRDefault="0036671D" w:rsidP="00DC000A">
      <w:pPr>
        <w:pStyle w:val="Ttulo7"/>
      </w:pPr>
    </w:p>
    <w:p w:rsidR="00D340E3" w:rsidRPr="00D340E3" w:rsidRDefault="00D340E3" w:rsidP="00D340E3"/>
    <w:p w:rsidR="0036671D" w:rsidRDefault="0036671D" w:rsidP="00DC000A">
      <w:pPr>
        <w:pStyle w:val="Ttulo7"/>
        <w:jc w:val="right"/>
      </w:pPr>
      <w:r>
        <w:t xml:space="preserve">Elaine Cristina </w:t>
      </w:r>
      <w:proofErr w:type="spellStart"/>
      <w:r>
        <w:t>Cestari</w:t>
      </w:r>
      <w:proofErr w:type="spellEnd"/>
    </w:p>
    <w:p w:rsidR="0036671D" w:rsidRDefault="0036671D" w:rsidP="00DC000A">
      <w:pPr>
        <w:pStyle w:val="Ttulo7"/>
        <w:jc w:val="right"/>
      </w:pPr>
      <w:r>
        <w:t xml:space="preserve">Supervisora do Laboratório de Inovação da Justiça Federal de São Paulo – </w:t>
      </w:r>
      <w:proofErr w:type="spellStart"/>
      <w:r>
        <w:t>iJuspLab</w:t>
      </w:r>
      <w:proofErr w:type="spellEnd"/>
    </w:p>
    <w:p w:rsidR="0036671D" w:rsidRDefault="0036671D" w:rsidP="00DC000A">
      <w:pPr>
        <w:pStyle w:val="Ttulo7"/>
        <w:jc w:val="right"/>
      </w:pPr>
      <w:r>
        <w:t>2172-4206</w:t>
      </w:r>
    </w:p>
    <w:p w:rsidR="0036671D" w:rsidRDefault="0036671D" w:rsidP="00DC000A"/>
    <w:p w:rsidR="00FF2E99" w:rsidRDefault="00FF2E99"/>
    <w:sectPr w:rsidR="00FF2E99" w:rsidSect="00D9587F">
      <w:headerReference w:type="default" r:id="rId9"/>
      <w:headerReference w:type="first" r:id="rId10"/>
      <w:pgSz w:w="12240" w:h="15840"/>
      <w:pgMar w:top="284" w:right="1701" w:bottom="284" w:left="1701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F0A" w:rsidRDefault="00562F0A" w:rsidP="00562F0A">
      <w:pPr>
        <w:spacing w:after="0"/>
      </w:pPr>
      <w:r>
        <w:separator/>
      </w:r>
    </w:p>
  </w:endnote>
  <w:endnote w:type="continuationSeparator" w:id="0">
    <w:p w:rsidR="00562F0A" w:rsidRDefault="00562F0A" w:rsidP="00562F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F0A" w:rsidRDefault="00562F0A" w:rsidP="00562F0A">
      <w:pPr>
        <w:spacing w:after="0"/>
      </w:pPr>
      <w:r>
        <w:separator/>
      </w:r>
    </w:p>
  </w:footnote>
  <w:footnote w:type="continuationSeparator" w:id="0">
    <w:p w:rsidR="00562F0A" w:rsidRDefault="00562F0A" w:rsidP="00562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0A" w:rsidRDefault="00562F0A">
    <w:pPr>
      <w:pStyle w:val="Cabealho"/>
    </w:pPr>
    <w:r>
      <w:tab/>
    </w:r>
    <w:r>
      <w:tab/>
    </w:r>
  </w:p>
  <w:p w:rsidR="00562F0A" w:rsidRDefault="00562F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F0A" w:rsidRDefault="00D9587F">
    <w:pPr>
      <w:pStyle w:val="Cabealho"/>
    </w:pPr>
    <w:r>
      <w:tab/>
    </w:r>
    <w:r w:rsidRPr="00D9587F">
      <w:rPr>
        <w:noProof/>
      </w:rPr>
      <w:drawing>
        <wp:inline distT="0" distB="0" distL="0" distR="0">
          <wp:extent cx="1485900" cy="869795"/>
          <wp:effectExtent l="0" t="0" r="0" b="6985"/>
          <wp:docPr id="5" name="Imagem 5" descr="S:\SJSP-ADM-IJUSPLAB\logo ijusplab peque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:\SJSP-ADM-IJUSPLAB\logo ijusplab peque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107" cy="88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80052"/>
    <w:multiLevelType w:val="hybridMultilevel"/>
    <w:tmpl w:val="F662B90A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1D"/>
    <w:rsid w:val="0036671D"/>
    <w:rsid w:val="003B0D83"/>
    <w:rsid w:val="00562F0A"/>
    <w:rsid w:val="009A5562"/>
    <w:rsid w:val="00D340E3"/>
    <w:rsid w:val="00D9587F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E818"/>
  <w15:chartTrackingRefBased/>
  <w15:docId w15:val="{9381CA44-DD6A-41A0-9706-A55D0E7D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671D"/>
    <w:pPr>
      <w:spacing w:after="200" w:line="240" w:lineRule="auto"/>
    </w:pPr>
    <w:rPr>
      <w:rFonts w:eastAsiaTheme="minorEastAsia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667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rsid w:val="0036671D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t-BR"/>
    </w:rPr>
  </w:style>
  <w:style w:type="paragraph" w:customStyle="1" w:styleId="Publishwithline">
    <w:name w:val="Publish with line"/>
    <w:semiHidden/>
    <w:qFormat/>
    <w:rsid w:val="0036671D"/>
    <w:pPr>
      <w:spacing w:after="0" w:line="240" w:lineRule="auto"/>
    </w:pPr>
    <w:rPr>
      <w:rFonts w:asciiTheme="majorHAnsi" w:eastAsiaTheme="majorEastAsia" w:hAnsiTheme="majorHAnsi" w:cstheme="majorBidi"/>
      <w:b/>
      <w:bCs/>
      <w:color w:val="262626"/>
      <w:sz w:val="32"/>
      <w:szCs w:val="38"/>
      <w:lang w:eastAsia="pt-BR"/>
    </w:rPr>
  </w:style>
  <w:style w:type="paragraph" w:styleId="PargrafodaLista">
    <w:name w:val="List Paragraph"/>
    <w:basedOn w:val="Normal"/>
    <w:uiPriority w:val="34"/>
    <w:qFormat/>
    <w:rsid w:val="0036671D"/>
    <w:pPr>
      <w:ind w:left="720"/>
      <w:contextualSpacing/>
    </w:pPr>
  </w:style>
  <w:style w:type="paragraph" w:customStyle="1" w:styleId="PadderBetweenControlandBody">
    <w:name w:val="Padder Between Control and Body"/>
    <w:basedOn w:val="Normal"/>
    <w:next w:val="Normal"/>
    <w:semiHidden/>
    <w:rsid w:val="0036671D"/>
    <w:pPr>
      <w:spacing w:after="120"/>
    </w:pPr>
    <w:rPr>
      <w:sz w:val="2"/>
      <w:szCs w:val="2"/>
    </w:rPr>
  </w:style>
  <w:style w:type="paragraph" w:customStyle="1" w:styleId="underline">
    <w:name w:val="underline"/>
    <w:semiHidden/>
    <w:rsid w:val="0036671D"/>
    <w:pPr>
      <w:pBdr>
        <w:bottom w:val="single" w:sz="8" w:space="2" w:color="C6C6C6"/>
      </w:pBdr>
      <w:spacing w:after="0" w:line="240" w:lineRule="auto"/>
    </w:pPr>
    <w:rPr>
      <w:rFonts w:eastAsiaTheme="minorEastAsia"/>
      <w:sz w:val="2"/>
      <w:szCs w:val="2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3B0D83"/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62F0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562F0A"/>
    <w:rPr>
      <w:rFonts w:eastAsiaTheme="minorEastAsia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2F0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562F0A"/>
    <w:rPr>
      <w:rFonts w:eastAsiaTheme="minorEastAsia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B63580FD1C4D6EB2AB109816E1B5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FCD08-8D9F-4FAD-B6A2-DA5467E0958E}"/>
      </w:docPartPr>
      <w:docPartBody>
        <w:p w:rsidR="00000000" w:rsidRDefault="004E6B63" w:rsidP="004E6B63">
          <w:pPr>
            <w:pStyle w:val="B0B63580FD1C4D6EB2AB109816E1B560"/>
          </w:pPr>
          <w:r w:rsidRPr="00624701">
            <w:rPr>
              <w:rStyle w:val="TextodoEspaoReservado"/>
            </w:rPr>
            <w:t>[Insira o Título da Postagem Aqui]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63"/>
    <w:rsid w:val="004E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6B63"/>
    <w:rPr>
      <w:color w:val="808080"/>
    </w:rPr>
  </w:style>
  <w:style w:type="paragraph" w:customStyle="1" w:styleId="B0B63580FD1C4D6EB2AB109816E1B560">
    <w:name w:val="B0B63580FD1C4D6EB2AB109816E1B560"/>
    <w:rsid w:val="004E6B63"/>
  </w:style>
  <w:style w:type="paragraph" w:customStyle="1" w:styleId="7C0B6F0722E24144859FE2846CC84BD2">
    <w:name w:val="7C0B6F0722E24144859FE2846CC84BD2"/>
    <w:rsid w:val="004E6B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DD3F-6B14-40B5-B075-5527DA74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Regional Federal 3ª Região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dcterms:created xsi:type="dcterms:W3CDTF">2019-05-16T21:09:00Z</dcterms:created>
  <dcterms:modified xsi:type="dcterms:W3CDTF">2019-05-16T21:23:00Z</dcterms:modified>
</cp:coreProperties>
</file>